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B1AE6" w14:textId="77777777" w:rsidR="00EC627F" w:rsidRPr="00EC627F" w:rsidRDefault="00EC627F" w:rsidP="00EC627F">
      <w:r w:rsidRPr="00EC627F">
        <w:rPr>
          <w:b/>
          <w:bCs/>
        </w:rPr>
        <w:t>Program Head’s Memo</w:t>
      </w:r>
      <w:r w:rsidRPr="00EC627F">
        <w:br/>
        <w:t>Date: April 28, 2026</w:t>
      </w:r>
    </w:p>
    <w:p w14:paraId="4D93B96E" w14:textId="77777777" w:rsidR="00EC627F" w:rsidRPr="00EC627F" w:rsidRDefault="00EC627F" w:rsidP="00EC627F">
      <w:r w:rsidRPr="00EC627F">
        <w:t>As we approach graduation on May 7, we are proud to celebrate 59 new nurses completing our Practical Nursing (PN) and Associate Degree in Nursing (ADN) programs. This milestone reflects the continued strength of our program and the dedication of our students, faculty, and clinical partners.</w:t>
      </w:r>
    </w:p>
    <w:p w14:paraId="373D7C90" w14:textId="77777777" w:rsidR="00EC627F" w:rsidRPr="00EC627F" w:rsidRDefault="00EC627F" w:rsidP="00EC627F">
      <w:r w:rsidRPr="00EC627F">
        <w:rPr>
          <w:b/>
          <w:bCs/>
        </w:rPr>
        <w:t>Program Outcomes &amp; Success Metrics</w:t>
      </w:r>
    </w:p>
    <w:p w14:paraId="4CE084B7" w14:textId="77777777" w:rsidR="00EC627F" w:rsidRPr="00EC627F" w:rsidRDefault="00EC627F" w:rsidP="00EC627F">
      <w:pPr>
        <w:numPr>
          <w:ilvl w:val="0"/>
          <w:numId w:val="1"/>
        </w:numPr>
      </w:pPr>
      <w:r w:rsidRPr="00EC627F">
        <w:rPr>
          <w:b/>
          <w:bCs/>
        </w:rPr>
        <w:t>NCLEX Pass Rates (December 2025):</w:t>
      </w:r>
      <w:r w:rsidRPr="00EC627F">
        <w:t xml:space="preserve"> </w:t>
      </w:r>
    </w:p>
    <w:p w14:paraId="5C50499A" w14:textId="77777777" w:rsidR="00EC627F" w:rsidRPr="00EC627F" w:rsidRDefault="00EC627F" w:rsidP="00EC627F">
      <w:pPr>
        <w:numPr>
          <w:ilvl w:val="1"/>
          <w:numId w:val="1"/>
        </w:numPr>
      </w:pPr>
      <w:r w:rsidRPr="00EC627F">
        <w:t xml:space="preserve">PN: 100% </w:t>
      </w:r>
    </w:p>
    <w:p w14:paraId="0F249315" w14:textId="1196EE08" w:rsidR="00EC627F" w:rsidRPr="00EC627F" w:rsidRDefault="00EC627F" w:rsidP="00EC627F">
      <w:pPr>
        <w:numPr>
          <w:ilvl w:val="1"/>
          <w:numId w:val="1"/>
        </w:numPr>
      </w:pPr>
      <w:r w:rsidRPr="00EC627F">
        <w:t xml:space="preserve">ADN: </w:t>
      </w:r>
      <w:r w:rsidR="00C54EFC">
        <w:t>89</w:t>
      </w:r>
      <w:r w:rsidRPr="00EC627F">
        <w:t xml:space="preserve">% </w:t>
      </w:r>
      <w:r w:rsidR="00C54EFC">
        <w:t xml:space="preserve">(3 left to test) </w:t>
      </w:r>
    </w:p>
    <w:p w14:paraId="092B42F5" w14:textId="77777777" w:rsidR="00EC627F" w:rsidRPr="00EC627F" w:rsidRDefault="00EC627F" w:rsidP="00EC627F">
      <w:pPr>
        <w:numPr>
          <w:ilvl w:val="0"/>
          <w:numId w:val="1"/>
        </w:numPr>
      </w:pPr>
      <w:r w:rsidRPr="00EC627F">
        <w:rPr>
          <w:b/>
          <w:bCs/>
        </w:rPr>
        <w:t>Job Placement Rate:</w:t>
      </w:r>
      <w:r w:rsidRPr="00EC627F">
        <w:t xml:space="preserve"> 100% </w:t>
      </w:r>
    </w:p>
    <w:p w14:paraId="5BB45891" w14:textId="77777777" w:rsidR="00EC627F" w:rsidRPr="00EC627F" w:rsidRDefault="00EC627F" w:rsidP="00EC627F">
      <w:r w:rsidRPr="00EC627F">
        <w:t>These outcomes demonstrate both the quality of our instruction and the effectiveness of our partnerships in preparing practice-ready graduates.</w:t>
      </w:r>
    </w:p>
    <w:p w14:paraId="30B688EB" w14:textId="24B7CEEA" w:rsidR="00EC627F" w:rsidRPr="00EC627F" w:rsidRDefault="00EC627F" w:rsidP="00EC627F">
      <w:r w:rsidRPr="00EC627F">
        <w:rPr>
          <w:b/>
          <w:bCs/>
        </w:rPr>
        <w:t>Enrollment &amp; Growth</w:t>
      </w:r>
      <w:r w:rsidR="00612042">
        <w:rPr>
          <w:b/>
          <w:bCs/>
        </w:rPr>
        <w:t xml:space="preserve"> </w:t>
      </w:r>
    </w:p>
    <w:p w14:paraId="4A021072" w14:textId="77777777" w:rsidR="00EC627F" w:rsidRDefault="00EC627F" w:rsidP="00EC627F">
      <w:pPr>
        <w:numPr>
          <w:ilvl w:val="0"/>
          <w:numId w:val="2"/>
        </w:numPr>
      </w:pPr>
      <w:r w:rsidRPr="00EC627F">
        <w:rPr>
          <w:b/>
          <w:bCs/>
        </w:rPr>
        <w:t>Overall RCC enrollment increase:</w:t>
      </w:r>
      <w:r w:rsidRPr="00EC627F">
        <w:t xml:space="preserve"> 25% (with many students pursuing nursing prerequisites) </w:t>
      </w:r>
    </w:p>
    <w:p w14:paraId="5089C28D" w14:textId="463E94EF" w:rsidR="00672DA4" w:rsidRDefault="00672DA4" w:rsidP="00EC627F">
      <w:pPr>
        <w:numPr>
          <w:ilvl w:val="0"/>
          <w:numId w:val="2"/>
        </w:numPr>
      </w:pPr>
      <w:r>
        <w:rPr>
          <w:b/>
          <w:bCs/>
        </w:rPr>
        <w:t xml:space="preserve">Nursing Enrollment Academic year </w:t>
      </w:r>
      <w:r w:rsidR="0030049E">
        <w:rPr>
          <w:b/>
          <w:bCs/>
        </w:rPr>
        <w:t>25/26:</w:t>
      </w:r>
      <w:r w:rsidR="0030049E">
        <w:t xml:space="preserve"> 237</w:t>
      </w:r>
    </w:p>
    <w:p w14:paraId="7C117A71" w14:textId="6E538301" w:rsidR="0030049E" w:rsidRPr="00EC627F" w:rsidRDefault="0030049E" w:rsidP="00EC627F">
      <w:pPr>
        <w:numPr>
          <w:ilvl w:val="0"/>
          <w:numId w:val="2"/>
        </w:numPr>
      </w:pPr>
      <w:r>
        <w:rPr>
          <w:b/>
          <w:bCs/>
        </w:rPr>
        <w:t xml:space="preserve">Nursing Enrollment </w:t>
      </w:r>
      <w:r w:rsidR="00AE4487">
        <w:rPr>
          <w:b/>
          <w:bCs/>
        </w:rPr>
        <w:t xml:space="preserve">Full Time </w:t>
      </w:r>
      <w:r>
        <w:rPr>
          <w:b/>
          <w:bCs/>
        </w:rPr>
        <w:t>Academic year 26/27:</w:t>
      </w:r>
      <w:r>
        <w:t xml:space="preserve"> 253 (parttime numbers pending)</w:t>
      </w:r>
    </w:p>
    <w:p w14:paraId="4C3DC0C0" w14:textId="77777777" w:rsidR="00EC627F" w:rsidRPr="00EC627F" w:rsidRDefault="00EC627F" w:rsidP="00EC627F">
      <w:r w:rsidRPr="00EC627F">
        <w:t>Looking ahead to Fall admissions:</w:t>
      </w:r>
    </w:p>
    <w:p w14:paraId="78186FB2" w14:textId="77777777" w:rsidR="00EC627F" w:rsidRPr="00EC627F" w:rsidRDefault="00EC627F" w:rsidP="00EC627F">
      <w:pPr>
        <w:numPr>
          <w:ilvl w:val="0"/>
          <w:numId w:val="3"/>
        </w:numPr>
      </w:pPr>
      <w:r w:rsidRPr="00EC627F">
        <w:rPr>
          <w:b/>
          <w:bCs/>
        </w:rPr>
        <w:t>ADN:</w:t>
      </w:r>
      <w:r w:rsidRPr="00EC627F">
        <w:t xml:space="preserve"> 45 students </w:t>
      </w:r>
    </w:p>
    <w:p w14:paraId="5C81F9B9" w14:textId="77777777" w:rsidR="00EC627F" w:rsidRPr="00EC627F" w:rsidRDefault="00EC627F" w:rsidP="00EC627F">
      <w:pPr>
        <w:numPr>
          <w:ilvl w:val="0"/>
          <w:numId w:val="3"/>
        </w:numPr>
      </w:pPr>
      <w:r w:rsidRPr="00EC627F">
        <w:rPr>
          <w:b/>
          <w:bCs/>
        </w:rPr>
        <w:t>PN:</w:t>
      </w:r>
      <w:r w:rsidRPr="00EC627F">
        <w:t xml:space="preserve"> 25 students </w:t>
      </w:r>
    </w:p>
    <w:p w14:paraId="01560401" w14:textId="77777777" w:rsidR="00EC627F" w:rsidRPr="00EC627F" w:rsidRDefault="00EC627F" w:rsidP="00EC627F">
      <w:pPr>
        <w:numPr>
          <w:ilvl w:val="0"/>
          <w:numId w:val="3"/>
        </w:numPr>
      </w:pPr>
      <w:r w:rsidRPr="00EC627F">
        <w:rPr>
          <w:b/>
          <w:bCs/>
        </w:rPr>
        <w:t>New Part-Time Track (ADN &amp; LPN-to-ADN Bridge):</w:t>
      </w:r>
      <w:r w:rsidRPr="00EC627F">
        <w:t xml:space="preserve"> 40 students planned </w:t>
      </w:r>
    </w:p>
    <w:p w14:paraId="5BE44D03" w14:textId="77777777" w:rsidR="00EC627F" w:rsidRPr="00EC627F" w:rsidRDefault="00EC627F" w:rsidP="00EC627F">
      <w:r w:rsidRPr="00EC627F">
        <w:t>We will also open an additional admission cycle in the spring to further expand access.</w:t>
      </w:r>
    </w:p>
    <w:p w14:paraId="606B6433" w14:textId="77777777" w:rsidR="00EC627F" w:rsidRPr="00EC627F" w:rsidRDefault="00EC627F" w:rsidP="00EC627F">
      <w:r w:rsidRPr="00EC627F">
        <w:rPr>
          <w:b/>
          <w:bCs/>
        </w:rPr>
        <w:t>Pipeline Development</w:t>
      </w:r>
      <w:r w:rsidRPr="00EC627F">
        <w:br/>
        <w:t>We continue to strengthen our pipeline through partnerships with local high schools. This year, our REAL DEAL Health Careers Immersion Experiences provided hands-on simulation and skills-based learning opportunities, increasing awareness and interest in nursing careers among high school students.</w:t>
      </w:r>
    </w:p>
    <w:p w14:paraId="7129062C" w14:textId="77777777" w:rsidR="00EC627F" w:rsidRPr="00EC627F" w:rsidRDefault="00EC627F" w:rsidP="00EC627F">
      <w:pPr>
        <w:rPr>
          <w:b/>
          <w:bCs/>
        </w:rPr>
      </w:pPr>
      <w:r w:rsidRPr="00EC627F">
        <w:rPr>
          <w:b/>
          <w:bCs/>
        </w:rPr>
        <w:t>Partnerships, Collaboratives &amp; Grant Support</w:t>
      </w:r>
    </w:p>
    <w:p w14:paraId="4DDEC955" w14:textId="77777777" w:rsidR="00EC627F" w:rsidRPr="00EC627F" w:rsidRDefault="00EC627F" w:rsidP="00EC627F">
      <w:r w:rsidRPr="00EC627F">
        <w:t xml:space="preserve">Our program remains deeply engaged in regional healthcare systems and workforce initiatives through strong collaborations that continue to advance clinical education and workforce readiness. Faculty and nursing leadership also actively participate in </w:t>
      </w:r>
      <w:proofErr w:type="gramStart"/>
      <w:r w:rsidRPr="00EC627F">
        <w:t>Region</w:t>
      </w:r>
      <w:proofErr w:type="gramEnd"/>
      <w:r w:rsidRPr="00EC627F">
        <w:t xml:space="preserve"> 5 and Region 6 healthcare collaboratives, supporting alignment between education and regional workforce needs.</w:t>
      </w:r>
    </w:p>
    <w:p w14:paraId="76DEABC0" w14:textId="77777777" w:rsidR="00EC627F" w:rsidRPr="00EC627F" w:rsidRDefault="00EC627F" w:rsidP="00EC627F">
      <w:r w:rsidRPr="00EC627F">
        <w:lastRenderedPageBreak/>
        <w:t>We are grateful for continued and emerging funding opportunities that support student success and workforce development, including the Virginia Rural Transformation Grant.</w:t>
      </w:r>
    </w:p>
    <w:p w14:paraId="576FD7D7" w14:textId="642A437D" w:rsidR="00EC627F" w:rsidRDefault="00EC627F" w:rsidP="00EC627F">
      <w:r w:rsidRPr="00EC627F">
        <w:t xml:space="preserve">The Virginia Department of Health Earn to Learn Grant is specifically aligned with our clinical and community partnerships, including Riverside Health System, VCU Health, Walter Reed Post Acute, and </w:t>
      </w:r>
      <w:r>
        <w:t xml:space="preserve">our new grant partner </w:t>
      </w:r>
      <w:r w:rsidRPr="00EC627F">
        <w:t>Sentara Williamsburg Regional Medical Center, strengthening pathways for students to earn while they learn and supporting workforce development across these partner sites.</w:t>
      </w:r>
      <w:r w:rsidR="00DF2AB1">
        <w:t xml:space="preserve"> </w:t>
      </w:r>
    </w:p>
    <w:p w14:paraId="1FF7C9EE" w14:textId="77777777" w:rsidR="00DF2AB1" w:rsidRPr="00EC627F" w:rsidRDefault="00DF2AB1" w:rsidP="00DF2AB1">
      <w:pPr>
        <w:numPr>
          <w:ilvl w:val="0"/>
          <w:numId w:val="2"/>
        </w:numPr>
      </w:pPr>
      <w:r w:rsidRPr="00EC627F">
        <w:rPr>
          <w:b/>
          <w:bCs/>
        </w:rPr>
        <w:t>Students served (AY 2025–2026):</w:t>
      </w:r>
      <w:r w:rsidRPr="00EC627F">
        <w:t xml:space="preserve"> 35 </w:t>
      </w:r>
    </w:p>
    <w:p w14:paraId="7CE2B2F1" w14:textId="311B984D" w:rsidR="00DF2AB1" w:rsidRPr="00EC627F" w:rsidRDefault="00DF2AB1" w:rsidP="00EC627F">
      <w:pPr>
        <w:numPr>
          <w:ilvl w:val="0"/>
          <w:numId w:val="2"/>
        </w:numPr>
      </w:pPr>
      <w:r w:rsidRPr="00EC627F">
        <w:rPr>
          <w:b/>
          <w:bCs/>
        </w:rPr>
        <w:t>Projected enrollment (AY 2026–2027):</w:t>
      </w:r>
      <w:r w:rsidRPr="00EC627F">
        <w:t xml:space="preserve"> 65 </w:t>
      </w:r>
    </w:p>
    <w:p w14:paraId="41570B54" w14:textId="38B9161B" w:rsidR="00EC627F" w:rsidRPr="00EC627F" w:rsidRDefault="00EC627F" w:rsidP="00EC627F">
      <w:r w:rsidRPr="00EC627F">
        <w:t>These combined partnerships and funding streams allow us to expand access, reduce barriers, and continue innovating in program delivery.</w:t>
      </w:r>
    </w:p>
    <w:p w14:paraId="435A7713" w14:textId="77777777" w:rsidR="00EC627F" w:rsidRPr="00EC627F" w:rsidRDefault="00EC627F" w:rsidP="00EC627F">
      <w:r w:rsidRPr="00EC627F">
        <w:rPr>
          <w:b/>
          <w:bCs/>
        </w:rPr>
        <w:t>Looking Ahead</w:t>
      </w:r>
      <w:r w:rsidRPr="00EC627F">
        <w:br/>
        <w:t>With strong outcomes, growing enrollment, and expanded partnerships, our nursing program is well-positioned to meet regional workforce needs. We remain committed to preparing highly skilled, compassionate nurses and to strengthening the healthcare pipeline across our communities.</w:t>
      </w:r>
    </w:p>
    <w:p w14:paraId="0096DA6A" w14:textId="2F91ED8A" w:rsidR="00EC627F" w:rsidRDefault="00EC627F" w:rsidP="00EC627F">
      <w:r w:rsidRPr="00EC627F">
        <w:t>Thank you for your continued partnership and support.</w:t>
      </w:r>
      <w:r>
        <w:t xml:space="preserve"> </w:t>
      </w:r>
    </w:p>
    <w:p w14:paraId="579A71C7" w14:textId="3ACDA5E1" w:rsidR="00EC627F" w:rsidRPr="00EC627F" w:rsidRDefault="00EC627F" w:rsidP="00EC627F">
      <w:pPr>
        <w:rPr>
          <w:b/>
          <w:bCs/>
        </w:rPr>
      </w:pPr>
      <w:r w:rsidRPr="00EC627F">
        <w:rPr>
          <w:b/>
          <w:bCs/>
        </w:rPr>
        <w:t>SAVE THE DATE: MAY 12</w:t>
      </w:r>
      <w:r w:rsidRPr="00EC627F">
        <w:rPr>
          <w:b/>
          <w:bCs/>
          <w:vertAlign w:val="superscript"/>
        </w:rPr>
        <w:t>th</w:t>
      </w:r>
      <w:r w:rsidRPr="00EC627F">
        <w:rPr>
          <w:b/>
          <w:bCs/>
        </w:rPr>
        <w:t xml:space="preserve"> 11 am</w:t>
      </w:r>
      <w:r>
        <w:rPr>
          <w:b/>
          <w:bCs/>
        </w:rPr>
        <w:t xml:space="preserve"> for our Citizens Advisory Board Meeting</w:t>
      </w:r>
    </w:p>
    <w:p w14:paraId="43DB3DBB" w14:textId="4A076A6D" w:rsidR="00EC627F" w:rsidRPr="00EC627F" w:rsidRDefault="00EC627F" w:rsidP="00EC627F">
      <w:r w:rsidRPr="00EC627F">
        <w:rPr>
          <w:b/>
          <w:bCs/>
        </w:rPr>
        <w:t>Microsoft Teams</w:t>
      </w:r>
    </w:p>
    <w:p w14:paraId="4CDBFE48" w14:textId="77777777" w:rsidR="00EC627F" w:rsidRPr="00EC627F" w:rsidRDefault="00000000" w:rsidP="00EC627F">
      <w:hyperlink r:id="rId5" w:tgtFrame="_blank" w:tooltip="Meeting join link" w:history="1">
        <w:r w:rsidR="00EC627F" w:rsidRPr="00EC627F">
          <w:rPr>
            <w:rStyle w:val="Hyperlink"/>
            <w:b/>
            <w:bCs/>
          </w:rPr>
          <w:t>Join the meeting now</w:t>
        </w:r>
      </w:hyperlink>
      <w:r w:rsidR="00EC627F" w:rsidRPr="00EC627F">
        <w:t xml:space="preserve"> </w:t>
      </w:r>
    </w:p>
    <w:p w14:paraId="2EB6F7B5" w14:textId="77777777" w:rsidR="00EC627F" w:rsidRPr="00EC627F" w:rsidRDefault="00EC627F" w:rsidP="00EC627F">
      <w:r w:rsidRPr="00EC627F">
        <w:t xml:space="preserve">Meeting ID: 236 063 896 869 83 </w:t>
      </w:r>
    </w:p>
    <w:p w14:paraId="3C49B5A4" w14:textId="77777777" w:rsidR="00EC627F" w:rsidRPr="00EC627F" w:rsidRDefault="00EC627F" w:rsidP="00EC627F">
      <w:r w:rsidRPr="00EC627F">
        <w:t xml:space="preserve">Passcode: m6Y5XT6t </w:t>
      </w:r>
    </w:p>
    <w:p w14:paraId="1D739DAD" w14:textId="77777777" w:rsidR="00EC627F" w:rsidRPr="00EC627F" w:rsidRDefault="00EC627F" w:rsidP="00EC627F"/>
    <w:p w14:paraId="1378D4E8" w14:textId="77777777" w:rsidR="007C0006" w:rsidRDefault="007C0006"/>
    <w:sectPr w:rsidR="007C00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80EAF"/>
    <w:multiLevelType w:val="multilevel"/>
    <w:tmpl w:val="1F2E8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11EE2"/>
    <w:multiLevelType w:val="multilevel"/>
    <w:tmpl w:val="08C8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3E7820"/>
    <w:multiLevelType w:val="multilevel"/>
    <w:tmpl w:val="50147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B96F91"/>
    <w:multiLevelType w:val="multilevel"/>
    <w:tmpl w:val="9DF8E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D61663"/>
    <w:multiLevelType w:val="multilevel"/>
    <w:tmpl w:val="11A2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2D0D0B"/>
    <w:multiLevelType w:val="multilevel"/>
    <w:tmpl w:val="3CAC2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371855">
    <w:abstractNumId w:val="0"/>
  </w:num>
  <w:num w:numId="2" w16cid:durableId="1622036346">
    <w:abstractNumId w:val="2"/>
  </w:num>
  <w:num w:numId="3" w16cid:durableId="1950428818">
    <w:abstractNumId w:val="3"/>
  </w:num>
  <w:num w:numId="4" w16cid:durableId="1386955669">
    <w:abstractNumId w:val="4"/>
  </w:num>
  <w:num w:numId="5" w16cid:durableId="856845375">
    <w:abstractNumId w:val="5"/>
  </w:num>
  <w:num w:numId="6" w16cid:durableId="162403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27F"/>
    <w:rsid w:val="001C2E49"/>
    <w:rsid w:val="0030049E"/>
    <w:rsid w:val="00394663"/>
    <w:rsid w:val="00612042"/>
    <w:rsid w:val="00672DA4"/>
    <w:rsid w:val="007C0006"/>
    <w:rsid w:val="00AE4487"/>
    <w:rsid w:val="00C54EFC"/>
    <w:rsid w:val="00D15AC7"/>
    <w:rsid w:val="00DF2AB1"/>
    <w:rsid w:val="00EC6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A43D"/>
  <w15:chartTrackingRefBased/>
  <w15:docId w15:val="{7EBE969B-DB4A-4D8F-BC6B-EED3B96B2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2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62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62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62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62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62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2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2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2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2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62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62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62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62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62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2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2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27F"/>
    <w:rPr>
      <w:rFonts w:eastAsiaTheme="majorEastAsia" w:cstheme="majorBidi"/>
      <w:color w:val="272727" w:themeColor="text1" w:themeTint="D8"/>
    </w:rPr>
  </w:style>
  <w:style w:type="paragraph" w:styleId="Title">
    <w:name w:val="Title"/>
    <w:basedOn w:val="Normal"/>
    <w:next w:val="Normal"/>
    <w:link w:val="TitleChar"/>
    <w:uiPriority w:val="10"/>
    <w:qFormat/>
    <w:rsid w:val="00EC62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2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2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2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27F"/>
    <w:pPr>
      <w:spacing w:before="160"/>
      <w:jc w:val="center"/>
    </w:pPr>
    <w:rPr>
      <w:i/>
      <w:iCs/>
      <w:color w:val="404040" w:themeColor="text1" w:themeTint="BF"/>
    </w:rPr>
  </w:style>
  <w:style w:type="character" w:customStyle="1" w:styleId="QuoteChar">
    <w:name w:val="Quote Char"/>
    <w:basedOn w:val="DefaultParagraphFont"/>
    <w:link w:val="Quote"/>
    <w:uiPriority w:val="29"/>
    <w:rsid w:val="00EC627F"/>
    <w:rPr>
      <w:i/>
      <w:iCs/>
      <w:color w:val="404040" w:themeColor="text1" w:themeTint="BF"/>
    </w:rPr>
  </w:style>
  <w:style w:type="paragraph" w:styleId="ListParagraph">
    <w:name w:val="List Paragraph"/>
    <w:basedOn w:val="Normal"/>
    <w:uiPriority w:val="34"/>
    <w:qFormat/>
    <w:rsid w:val="00EC627F"/>
    <w:pPr>
      <w:ind w:left="720"/>
      <w:contextualSpacing/>
    </w:pPr>
  </w:style>
  <w:style w:type="character" w:styleId="IntenseEmphasis">
    <w:name w:val="Intense Emphasis"/>
    <w:basedOn w:val="DefaultParagraphFont"/>
    <w:uiPriority w:val="21"/>
    <w:qFormat/>
    <w:rsid w:val="00EC627F"/>
    <w:rPr>
      <w:i/>
      <w:iCs/>
      <w:color w:val="0F4761" w:themeColor="accent1" w:themeShade="BF"/>
    </w:rPr>
  </w:style>
  <w:style w:type="paragraph" w:styleId="IntenseQuote">
    <w:name w:val="Intense Quote"/>
    <w:basedOn w:val="Normal"/>
    <w:next w:val="Normal"/>
    <w:link w:val="IntenseQuoteChar"/>
    <w:uiPriority w:val="30"/>
    <w:qFormat/>
    <w:rsid w:val="00EC62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627F"/>
    <w:rPr>
      <w:i/>
      <w:iCs/>
      <w:color w:val="0F4761" w:themeColor="accent1" w:themeShade="BF"/>
    </w:rPr>
  </w:style>
  <w:style w:type="character" w:styleId="IntenseReference">
    <w:name w:val="Intense Reference"/>
    <w:basedOn w:val="DefaultParagraphFont"/>
    <w:uiPriority w:val="32"/>
    <w:qFormat/>
    <w:rsid w:val="00EC627F"/>
    <w:rPr>
      <w:b/>
      <w:bCs/>
      <w:smallCaps/>
      <w:color w:val="0F4761" w:themeColor="accent1" w:themeShade="BF"/>
      <w:spacing w:val="5"/>
    </w:rPr>
  </w:style>
  <w:style w:type="character" w:styleId="Hyperlink">
    <w:name w:val="Hyperlink"/>
    <w:basedOn w:val="DefaultParagraphFont"/>
    <w:uiPriority w:val="99"/>
    <w:unhideWhenUsed/>
    <w:rsid w:val="00EC627F"/>
    <w:rPr>
      <w:color w:val="467886" w:themeColor="hyperlink"/>
      <w:u w:val="single"/>
    </w:rPr>
  </w:style>
  <w:style w:type="character" w:styleId="UnresolvedMention">
    <w:name w:val="Unresolved Mention"/>
    <w:basedOn w:val="DefaultParagraphFont"/>
    <w:uiPriority w:val="99"/>
    <w:semiHidden/>
    <w:unhideWhenUsed/>
    <w:rsid w:val="00EC62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607256">
      <w:bodyDiv w:val="1"/>
      <w:marLeft w:val="0"/>
      <w:marRight w:val="0"/>
      <w:marTop w:val="0"/>
      <w:marBottom w:val="0"/>
      <w:divBdr>
        <w:top w:val="none" w:sz="0" w:space="0" w:color="auto"/>
        <w:left w:val="none" w:sz="0" w:space="0" w:color="auto"/>
        <w:bottom w:val="none" w:sz="0" w:space="0" w:color="auto"/>
        <w:right w:val="none" w:sz="0" w:space="0" w:color="auto"/>
      </w:divBdr>
    </w:div>
    <w:div w:id="1084910557">
      <w:bodyDiv w:val="1"/>
      <w:marLeft w:val="0"/>
      <w:marRight w:val="0"/>
      <w:marTop w:val="0"/>
      <w:marBottom w:val="0"/>
      <w:divBdr>
        <w:top w:val="none" w:sz="0" w:space="0" w:color="auto"/>
        <w:left w:val="none" w:sz="0" w:space="0" w:color="auto"/>
        <w:bottom w:val="none" w:sz="0" w:space="0" w:color="auto"/>
        <w:right w:val="none" w:sz="0" w:space="0" w:color="auto"/>
      </w:divBdr>
    </w:div>
    <w:div w:id="1617565563">
      <w:bodyDiv w:val="1"/>
      <w:marLeft w:val="0"/>
      <w:marRight w:val="0"/>
      <w:marTop w:val="0"/>
      <w:marBottom w:val="0"/>
      <w:divBdr>
        <w:top w:val="none" w:sz="0" w:space="0" w:color="auto"/>
        <w:left w:val="none" w:sz="0" w:space="0" w:color="auto"/>
        <w:bottom w:val="none" w:sz="0" w:space="0" w:color="auto"/>
        <w:right w:val="none" w:sz="0" w:space="0" w:color="auto"/>
      </w:divBdr>
    </w:div>
    <w:div w:id="1685284398">
      <w:bodyDiv w:val="1"/>
      <w:marLeft w:val="0"/>
      <w:marRight w:val="0"/>
      <w:marTop w:val="0"/>
      <w:marBottom w:val="0"/>
      <w:divBdr>
        <w:top w:val="none" w:sz="0" w:space="0" w:color="auto"/>
        <w:left w:val="none" w:sz="0" w:space="0" w:color="auto"/>
        <w:bottom w:val="none" w:sz="0" w:space="0" w:color="auto"/>
        <w:right w:val="none" w:sz="0" w:space="0" w:color="auto"/>
      </w:divBdr>
    </w:div>
    <w:div w:id="1708872790">
      <w:bodyDiv w:val="1"/>
      <w:marLeft w:val="0"/>
      <w:marRight w:val="0"/>
      <w:marTop w:val="0"/>
      <w:marBottom w:val="0"/>
      <w:divBdr>
        <w:top w:val="none" w:sz="0" w:space="0" w:color="auto"/>
        <w:left w:val="none" w:sz="0" w:space="0" w:color="auto"/>
        <w:bottom w:val="none" w:sz="0" w:space="0" w:color="auto"/>
        <w:right w:val="none" w:sz="0" w:space="0" w:color="auto"/>
      </w:divBdr>
    </w:div>
    <w:div w:id="176818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eams.microsoft.com/l/meetup-join/19%3ameeting_MWRiMjg1NTgtYTMyOS00ZmZjLWEyYjgtMWRlZjRlMWZkYmQz%40thread.v2/0?context=%7b%22Tid%22%3a%2268ca2e01-b9af-47d6-bcce-2c044df92aae%22%2c%22Oid%22%3a%22080f3eec-13bd-4945-8d31-f4a4117712ab%22%7d"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7706C3B9AAEC42AB959A09E189E0FD" ma:contentTypeVersion="17" ma:contentTypeDescription="Create a new document." ma:contentTypeScope="" ma:versionID="e538dc11fe8f32291ba742e151f12638">
  <xsd:schema xmlns:xsd="http://www.w3.org/2001/XMLSchema" xmlns:xs="http://www.w3.org/2001/XMLSchema" xmlns:p="http://schemas.microsoft.com/office/2006/metadata/properties" xmlns:ns2="351e965b-eb0a-4c33-b518-b8eeff34c3de" xmlns:ns3="df3aaf30-bfa1-4284-a5db-4fe304752264" targetNamespace="http://schemas.microsoft.com/office/2006/metadata/properties" ma:root="true" ma:fieldsID="f1cff160ceaccf1e9c6a6f9a5db1430a" ns2:_="" ns3:_="">
    <xsd:import namespace="351e965b-eb0a-4c33-b518-b8eeff34c3de"/>
    <xsd:import namespace="df3aaf30-bfa1-4284-a5db-4fe3047522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e965b-eb0a-4c33-b518-b8eeff34c3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de1c3a4-3653-4425-870d-a534ce4917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3aaf30-bfa1-4284-a5db-4fe30475226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2518bee-24e1-4a17-ab03-ec1e6a0b0578}" ma:internalName="TaxCatchAll" ma:showField="CatchAllData" ma:web="df3aaf30-bfa1-4284-a5db-4fe30475226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1e965b-eb0a-4c33-b518-b8eeff34c3de">
      <Terms xmlns="http://schemas.microsoft.com/office/infopath/2007/PartnerControls"/>
    </lcf76f155ced4ddcb4097134ff3c332f>
    <TaxCatchAll xmlns="df3aaf30-bfa1-4284-a5db-4fe304752264" xsi:nil="true"/>
  </documentManagement>
</p:properties>
</file>

<file path=customXml/itemProps1.xml><?xml version="1.0" encoding="utf-8"?>
<ds:datastoreItem xmlns:ds="http://schemas.openxmlformats.org/officeDocument/2006/customXml" ds:itemID="{80B6819A-BEC9-48A4-A1BD-7E346539D931}"/>
</file>

<file path=customXml/itemProps2.xml><?xml version="1.0" encoding="utf-8"?>
<ds:datastoreItem xmlns:ds="http://schemas.openxmlformats.org/officeDocument/2006/customXml" ds:itemID="{ECE0DDC7-1806-4D78-A6FE-F54CE69F3CCB}"/>
</file>

<file path=customXml/itemProps3.xml><?xml version="1.0" encoding="utf-8"?>
<ds:datastoreItem xmlns:ds="http://schemas.openxmlformats.org/officeDocument/2006/customXml" ds:itemID="{20A83E6E-7DBA-42CD-8CC0-3A73EAE93DF2}"/>
</file>

<file path=docProps/app.xml><?xml version="1.0" encoding="utf-8"?>
<Properties xmlns="http://schemas.openxmlformats.org/officeDocument/2006/extended-properties" xmlns:vt="http://schemas.openxmlformats.org/officeDocument/2006/docPropsVTypes">
  <Template>Normal</Template>
  <TotalTime>14</TotalTime>
  <Pages>2</Pages>
  <Words>505</Words>
  <Characters>2885</Characters>
  <Application>Microsoft Office Word</Application>
  <DocSecurity>0</DocSecurity>
  <Lines>24</Lines>
  <Paragraphs>6</Paragraphs>
  <ScaleCrop>false</ScaleCrop>
  <Company>Rappahannock Community College</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Rebecca</dc:creator>
  <cp:keywords/>
  <dc:description/>
  <cp:lastModifiedBy>White Rebecca</cp:lastModifiedBy>
  <cp:revision>7</cp:revision>
  <dcterms:created xsi:type="dcterms:W3CDTF">2026-04-28T19:09:00Z</dcterms:created>
  <dcterms:modified xsi:type="dcterms:W3CDTF">2026-04-29T13:12:00Z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0x0101007E7706C3B9AAEC42AB959A09E189E0FD</vt:lpwstr>
  </property>
</Properties>
</file>